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80"/>
      </w:pPr>
      <w:r>
        <w:rPr>
          <w:b/>
          <w:color w:val="0284C7"/>
          <w:sz w:val="20"/>
          <w:szCs w:val="20"/>
        </w:rPr>
        <w:t xml:space="preserve">CROW INNOVATIONS — CYBER RESEARCH IN OFFENSIVE WARFARE</w:t>
      </w:r>
    </w:p>
    <w:p>
      <w:pPr>
        <w:spacing w:after="240"/>
      </w:pPr>
      <w:r>
        <w:rPr>
          <w:b/>
          <w:color w:val="0F172A"/>
          <w:sz w:val="34"/>
          <w:szCs w:val="34"/>
        </w:rPr>
        <w:t xml:space="preserve">PCI DSS v4.0.1 Compliance Audit &amp; Penetration Testing Client Findings Report</w:t>
      </w:r>
    </w:p>
    <w:p>
      <w:pPr>
        <w:spacing w:after="240"/>
      </w:pPr>
      <w:r>
        <w:rPr>
          <w:b/>
          <w:color w:val="DC2626"/>
          <w:sz w:val="20"/>
          <w:szCs w:val="20"/>
        </w:rPr>
        <w:t xml:space="preserve">Document Classification: CONFIDENTIAL — CLIENT AUDIT &amp; REMEDIATION DELIVERABLE</w:t>
      </w:r>
    </w:p>
    <w:p>
      <w:pPr>
        <w:spacing w:after="120"/>
      </w:pPr>
      <w:r>
        <w:rPr>
          <w:b/>
          <w:color w:val="0F172A"/>
          <w:sz w:val="28"/>
          <w:szCs w:val="28"/>
        </w:rPr>
        <w:t xml:space="preserve">1. Executive Summary &amp; Audit Readiness Scorecard</w:t>
      </w:r>
    </w:p>
    <w:p>
      <w:pPr>
        <w:spacing w:after="160"/>
      </w:pPr>
      <w:r>
        <w:rPr>
          <w:color w:val="334155"/>
          <w:sz w:val="22"/>
          <w:szCs w:val="22"/>
        </w:rPr>
        <w:t xml:space="preserve">This report presents the empirical findings, control validation results, vulnerability analysis, and Requirement 11.4 penetration testing outcomes conducted by CROW Innovations against the Payment Card Industry Data Security Standard (PCI DSS) v4.0.1. It accompanies the CROW_PCI_DSS_v4_0_1_Audit_Workbook.xlsx assessment workbook.</w:t>
      </w:r>
    </w:p>
    <w:p>
      <w:pPr>
        <w:spacing w:after="80"/>
      </w:pPr>
      <w:r>
        <w:rPr>
          <w:color w:val="1E293B"/>
          <w:sz w:val="22"/>
          <w:szCs w:val="22"/>
        </w:rPr>
        <w:t xml:space="preserve">• Client / Merchant / TPSP Name: [Insert Organization Name]</w:t>
      </w:r>
    </w:p>
    <w:p>
      <w:pPr>
        <w:spacing w:after="80"/>
      </w:pPr>
      <w:r>
        <w:rPr>
          <w:color w:val="1E293B"/>
          <w:sz w:val="22"/>
          <w:szCs w:val="22"/>
        </w:rPr>
        <w:t xml:space="preserve">• Assessment Period &amp; Scope: [Insert Dates] | Cardholder Data Environment (CDE) &amp; Connected Systems</w:t>
      </w:r>
    </w:p>
    <w:p>
      <w:pPr>
        <w:spacing w:after="220"/>
      </w:pPr>
      <w:r>
        <w:rPr>
          <w:b/>
          <w:color w:val="1E293B"/>
          <w:sz w:val="22"/>
          <w:szCs w:val="22"/>
        </w:rPr>
        <w:t xml:space="preserve">• Overall Readiness Rating: [Pass / Conditional Pass Pending Remediation / Action Required]</w:t>
      </w:r>
    </w:p>
    <w:p>
      <w:pPr>
        <w:spacing w:after="120"/>
      </w:pPr>
      <w:r>
        <w:rPr>
          <w:b/>
          <w:color w:val="0F172A"/>
          <w:sz w:val="28"/>
          <w:szCs w:val="28"/>
        </w:rPr>
        <w:t xml:space="preserve">2. Summary of the 12 Principal PCI DSS v4.0.1 Requirements</w:t>
      </w:r>
    </w:p>
    <w:p>
      <w:pPr>
        <w:spacing w:after="120"/>
      </w:pPr>
      <w:r>
        <w:rPr>
          <w:color w:val="334155"/>
          <w:sz w:val="22"/>
          <w:szCs w:val="22"/>
        </w:rPr>
        <w:t xml:space="preserve">Record the Pass / Fail / Not Applicable / Not Tested posture across each principal requirement domain from Sheet 1 of the accompanying Excel Audit Workbook:</w:t>
      </w:r>
    </w:p>
    <w:p>
      <w:pPr>
        <w:spacing w:after="60"/>
      </w:pPr>
      <w:r>
        <w:rPr>
          <w:color w:val="1E293B"/>
          <w:sz w:val="21"/>
          <w:szCs w:val="21"/>
        </w:rPr>
        <w:t xml:space="preserve">• Requirement 1 (Network Security Controls): [Pass / Fail / N/A / Not Tested] — Summary of firewall &amp; CDE perimeter controls.</w:t>
      </w:r>
    </w:p>
    <w:p>
      <w:pPr>
        <w:spacing w:after="60"/>
      </w:pPr>
      <w:r>
        <w:rPr>
          <w:color w:val="1E293B"/>
          <w:sz w:val="21"/>
          <w:szCs w:val="21"/>
        </w:rPr>
        <w:t xml:space="preserve">• Requirement 2 (Secure Configurations): [Pass / Fail / N/A / Not Tested] — Summary of system hardening &amp; vendor defaults.</w:t>
      </w:r>
    </w:p>
    <w:p>
      <w:pPr>
        <w:spacing w:after="60"/>
      </w:pPr>
      <w:r>
        <w:rPr>
          <w:color w:val="1E293B"/>
          <w:sz w:val="21"/>
          <w:szCs w:val="21"/>
        </w:rPr>
        <w:t xml:space="preserve">• Requirement 3 (Protect Stored Account Data): [Pass / Fail / N/A / Not Tested] — Summary of CHD retention, SAD purge, and PAN cryptography.</w:t>
      </w:r>
    </w:p>
    <w:p>
      <w:pPr>
        <w:spacing w:after="60"/>
      </w:pPr>
      <w:r>
        <w:rPr>
          <w:color w:val="1E293B"/>
          <w:sz w:val="21"/>
          <w:szCs w:val="21"/>
        </w:rPr>
        <w:t xml:space="preserve">• Requirement 4 (Strong Cryptography in Transit): [Pass / Fail / N/A / Not Tested] — Summary of TLS 1.2+/1.3 enforcement.</w:t>
      </w:r>
    </w:p>
    <w:p>
      <w:pPr>
        <w:spacing w:after="60"/>
      </w:pPr>
      <w:r>
        <w:rPr>
          <w:color w:val="1E293B"/>
          <w:sz w:val="21"/>
          <w:szCs w:val="21"/>
        </w:rPr>
        <w:t xml:space="preserve">• Requirement 5 (Malicious Software Protection): [Pass / Fail / N/A / Not Tested] — Summary of EDR/anti-malware &amp; anti-phishing controls.</w:t>
      </w:r>
    </w:p>
    <w:p>
      <w:pPr>
        <w:spacing w:after="60"/>
      </w:pPr>
      <w:r>
        <w:rPr>
          <w:color w:val="1E293B"/>
          <w:sz w:val="21"/>
          <w:szCs w:val="21"/>
        </w:rPr>
        <w:t xml:space="preserve">• Requirement 6 (Secure Systems &amp; Software): [Pass / Fail / N/A / Not Tested] — Summary of patching (6.3.3), WAF, and payment script integrity (6.4.3).</w:t>
      </w:r>
    </w:p>
    <w:p>
      <w:pPr>
        <w:spacing w:after="60"/>
      </w:pPr>
      <w:r>
        <w:rPr>
          <w:color w:val="1E293B"/>
          <w:sz w:val="21"/>
          <w:szCs w:val="21"/>
        </w:rPr>
        <w:t xml:space="preserve">• Requirement 7 (Restrict Access by Business Need): [Pass / Fail / N/A / Not Tested] — Summary of RBAC and least-privilege enforcement.</w:t>
      </w:r>
    </w:p>
    <w:p>
      <w:pPr>
        <w:spacing w:after="60"/>
      </w:pPr>
      <w:r>
        <w:rPr>
          <w:color w:val="1E293B"/>
          <w:sz w:val="21"/>
          <w:szCs w:val="21"/>
        </w:rPr>
        <w:t xml:space="preserve">• Requirement 8 (Identify &amp; Authenticate Access): [Pass / Fail / N/A / Not Tested] — Summary of 12+ char passwords and universal CDE MFA (8.4.2).</w:t>
      </w:r>
    </w:p>
    <w:p>
      <w:pPr>
        <w:spacing w:after="60"/>
      </w:pPr>
      <w:r>
        <w:rPr>
          <w:color w:val="1E293B"/>
          <w:sz w:val="21"/>
          <w:szCs w:val="21"/>
        </w:rPr>
        <w:t xml:space="preserve">• Requirement 9 (Restrict Physical Access): [Pass / Fail / N/A / Not Tested] — Summary of data center, media, and POI terminal security.</w:t>
      </w:r>
    </w:p>
    <w:p>
      <w:pPr>
        <w:spacing w:after="60"/>
      </w:pPr>
      <w:r>
        <w:rPr>
          <w:color w:val="1E293B"/>
          <w:sz w:val="21"/>
          <w:szCs w:val="21"/>
        </w:rPr>
        <w:t xml:space="preserve">• Requirement 10 (Log &amp; Monitor All Access): [Pass / Fail / N/A / Not Tested] — Summary of SIEM logging, NTP sync, and automated log review.</w:t>
      </w:r>
    </w:p>
    <w:p>
      <w:pPr>
        <w:spacing w:after="60"/>
      </w:pPr>
      <w:r>
        <w:rPr>
          <w:color w:val="1E293B"/>
          <w:sz w:val="21"/>
          <w:szCs w:val="21"/>
        </w:rPr>
        <w:t xml:space="preserve">• Requirement 11 (Test Security Regularly): [Pass / Fail / N/A / Not Tested] — Summary of ASV/internal scans (11.3), pen testing (11.4), and FIM (11.5).</w:t>
      </w:r>
    </w:p>
    <w:p>
      <w:pPr>
        <w:spacing w:after="220"/>
      </w:pPr>
      <w:r>
        <w:rPr>
          <w:color w:val="1E293B"/>
          <w:sz w:val="21"/>
          <w:szCs w:val="21"/>
        </w:rPr>
        <w:t xml:space="preserve">• Requirement 12 (Policies, TRAs &amp; TPSP Governance): [Pass / Fail / N/A / Not Tested] — Summary of policies, Targeted Risk Analyses (12.3.1), TPSPs (12.8), and IRP (12.10).</w:t>
      </w:r>
    </w:p>
    <w:p>
      <w:pPr>
        <w:spacing w:after="120"/>
      </w:pPr>
      <w:r>
        <w:rPr>
          <w:b/>
          <w:color w:val="0F172A"/>
          <w:sz w:val="28"/>
          <w:szCs w:val="28"/>
        </w:rPr>
        <w:t xml:space="preserve">3. Cardholder Data Environment (CDE) Scope &amp; Segmentation Verification (Req. 11.4.4)</w:t>
      </w:r>
    </w:p>
    <w:p>
      <w:pPr>
        <w:spacing w:after="200"/>
      </w:pPr>
      <w:r>
        <w:rPr>
          <w:color w:val="334155"/>
          <w:sz w:val="22"/>
          <w:szCs w:val="22"/>
        </w:rPr>
        <w:t xml:space="preserve">Document all in-scope CDE subnets, tokenization endpoints, connected-to security systems, third-party payment processors, and the empirical results of annual (or semi-annual TPSP) network segmentation penetration testing.</w:t>
      </w:r>
    </w:p>
    <w:p>
      <w:pPr>
        <w:spacing w:after="120"/>
      </w:pPr>
      <w:r>
        <w:rPr>
          <w:b/>
          <w:color w:val="0F172A"/>
          <w:sz w:val="28"/>
          <w:szCs w:val="28"/>
        </w:rPr>
        <w:t xml:space="preserve">4. Penetration Testing Findings Mapped to PCI DSS Requirement 11 (Req. 11.4.1 – 11.4.7)</w:t>
      </w:r>
    </w:p>
    <w:p>
      <w:pPr>
        <w:spacing w:after="120"/>
      </w:pPr>
      <w:r>
        <w:rPr>
          <w:color w:val="334155"/>
          <w:sz w:val="22"/>
          <w:szCs w:val="22"/>
        </w:rPr>
        <w:t xml:space="preserve">For each exploitable vulnerability discovered during internal, external, web application/API, or segmentation penetration testing, provide the following structured record:</w:t>
      </w:r>
    </w:p>
    <w:p>
      <w:pPr>
        <w:spacing w:after="60"/>
      </w:pPr>
      <w:r>
        <w:rPr>
          <w:b/>
          <w:color w:val="0F172A"/>
          <w:sz w:val="22"/>
          <w:szCs w:val="22"/>
        </w:rPr>
        <w:t xml:space="preserve">• Finding ID &amp; Title: [e.g., PT-PCI-001 — Corporate VLAN Reachability to CDE Management Subnet]</w:t>
      </w:r>
    </w:p>
    <w:p>
      <w:pPr>
        <w:spacing w:after="60"/>
      </w:pPr>
      <w:r>
        <w:rPr>
          <w:color w:val="1E293B"/>
          <w:sz w:val="21"/>
          <w:szCs w:val="21"/>
        </w:rPr>
        <w:t xml:space="preserve">• Severity &amp; CVSS Score: [Critical / High / Medium / Low] | CVSS v3.1/v4.0: [Score]</w:t>
      </w:r>
    </w:p>
    <w:p>
      <w:pPr>
        <w:spacing w:after="60"/>
      </w:pPr>
      <w:r>
        <w:rPr>
          <w:color w:val="1E293B"/>
          <w:sz w:val="21"/>
          <w:szCs w:val="21"/>
        </w:rPr>
        <w:t xml:space="preserve">• PCI DSS Requirement Mapping: [e.g., Req 11.4.4, Req 1.3.1]</w:t>
      </w:r>
    </w:p>
    <w:p>
      <w:pPr>
        <w:spacing w:after="60"/>
      </w:pPr>
      <w:r>
        <w:rPr>
          <w:color w:val="1E293B"/>
          <w:sz w:val="21"/>
          <w:szCs w:val="21"/>
        </w:rPr>
        <w:t xml:space="preserve">• Affected Assets / Endpoints: [IPs, Hostnames, URLs, VLANs]</w:t>
      </w:r>
    </w:p>
    <w:p>
      <w:pPr>
        <w:spacing w:after="60"/>
      </w:pPr>
      <w:r>
        <w:rPr>
          <w:color w:val="1E293B"/>
          <w:sz w:val="21"/>
          <w:szCs w:val="21"/>
        </w:rPr>
        <w:t xml:space="preserve">• Technical Proof-of-Concept &amp; Exploitation Narrative: [Step-by-step reproduction, screenshots, and CHD impact]</w:t>
      </w:r>
    </w:p>
    <w:p>
      <w:pPr>
        <w:spacing w:after="60"/>
      </w:pPr>
      <w:r>
        <w:rPr>
          <w:color w:val="1E293B"/>
          <w:sz w:val="21"/>
          <w:szCs w:val="21"/>
        </w:rPr>
        <w:t xml:space="preserve">• Actionable Remediation Blueprint: [Exact configuration changes, firewall rules, or code fixes]</w:t>
      </w:r>
    </w:p>
    <w:p>
      <w:pPr>
        <w:spacing w:after="220"/>
      </w:pPr>
      <w:r>
        <w:rPr>
          <w:color w:val="1E293B"/>
          <w:sz w:val="21"/>
          <w:szCs w:val="21"/>
        </w:rPr>
        <w:t xml:space="preserve">• Retest Verification Status: [Open / Remediated &amp; Verified on YYYY-MM-DD]</w:t>
      </w:r>
    </w:p>
    <w:p>
      <w:pPr>
        <w:spacing w:after="120"/>
      </w:pPr>
      <w:r>
        <w:rPr>
          <w:b/>
          <w:color w:val="0F172A"/>
          <w:sz w:val="28"/>
          <w:szCs w:val="28"/>
        </w:rPr>
        <w:t xml:space="preserve">5. Vulnerability Scan Summary (Req. 11.3.1 Internal &amp; Req. 11.3.2 External ASV)</w:t>
      </w:r>
    </w:p>
    <w:p>
      <w:pPr>
        <w:spacing w:after="220"/>
      </w:pPr>
      <w:r>
        <w:rPr>
          <w:color w:val="334155"/>
          <w:sz w:val="22"/>
          <w:szCs w:val="22"/>
        </w:rPr>
        <w:t xml:space="preserve">Summarize quarterly internal authenticated scan results (confirming resolution of all high-risk vulnerabilities) and quarterly external Approved Scanning Vendor (ASV) scan compliance (confirming zero unresolved CVSS &gt;= 4.0 findings).</w:t>
      </w:r>
    </w:p>
    <w:p>
      <w:pPr>
        <w:spacing w:after="120"/>
      </w:pPr>
      <w:r>
        <w:rPr>
          <w:b/>
          <w:color w:val="0F172A"/>
          <w:sz w:val="28"/>
          <w:szCs w:val="28"/>
        </w:rPr>
        <w:t xml:space="preserve">6. Evidence Collection Index &amp; Remediation Plan of Action (POA&amp;M)</w:t>
      </w:r>
    </w:p>
    <w:p>
      <w:pPr>
        <w:spacing w:after="160"/>
      </w:pPr>
      <w:r>
        <w:rPr>
          <w:color w:val="334155"/>
          <w:sz w:val="22"/>
          <w:szCs w:val="22"/>
        </w:rPr>
        <w:t xml:space="preserve">Cross-reference all collected audit artifacts (policies, configuration screenshots, Targeted Risk Analyses, TPSP AoCs, and scan logs) recorded in Sheet 2 and Sheet 3 of CROW_PCI_DSS_v4_0_1_Audit_Workbook.xlsx prior to final QSA/ISA Report on Compliance (RoC) or SAQ/AoC sign-off.</w:t>
      </w:r>
    </w:p>
    <w:sectPr>
      <w:pgSz w:w="12240" w:h="15840"/>
      <w:pgMar w:top="1440" w:right="1440" w:bottom="1440" w:left="1440" w:header="720" w:footer="720" w:gutter="0"/>
    </w:sectPr>
  </w:body>
</w:document>
</file>